
<file path=[Content_Types].xml><?xml version="1.0" encoding="utf-8"?>
<Types xmlns="http://schemas.openxmlformats.org/package/2006/content-types">
  <Default Extension="json" ContentType="application/vnd.baytech.document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document-metadata" Target="baytech/document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A7C9" w14:textId="6ABF5032" w:rsidR="009073CD" w:rsidRDefault="00434480" w:rsidP="00B57B2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829B2">
        <w:rPr>
          <w:rFonts w:ascii="Arial" w:hAnsi="Arial" w:cs="Arial"/>
          <w:bCs/>
          <w:spacing w:val="-3"/>
          <w:sz w:val="22"/>
          <w:szCs w:val="22"/>
        </w:rPr>
        <w:t>The Great Sandy Marine Park (GSMP) is a multiple use marine protected area that provides for a variety of recreational, commercial and tourism activities in addition to its primary purpose of conserving the marine environment. It contains a diverse range of natural and cultural values such as mangrove communities, some of the world’s most southerly coastal fringing</w:t>
      </w:r>
      <w:r w:rsidR="003E2C3C">
        <w:rPr>
          <w:rFonts w:ascii="Arial" w:hAnsi="Arial" w:cs="Arial"/>
          <w:bCs/>
          <w:spacing w:val="-3"/>
          <w:sz w:val="22"/>
          <w:szCs w:val="22"/>
        </w:rPr>
        <w:t xml:space="preserve"> coral</w:t>
      </w:r>
      <w:r w:rsidRPr="001829B2">
        <w:rPr>
          <w:rFonts w:ascii="Arial" w:hAnsi="Arial" w:cs="Arial"/>
          <w:bCs/>
          <w:spacing w:val="-3"/>
          <w:sz w:val="22"/>
          <w:szCs w:val="22"/>
        </w:rPr>
        <w:t xml:space="preserve"> reefs, and species of international and national conservation significance such as shorebirds, grey nurse sharks, turtles and dugongs. </w:t>
      </w:r>
    </w:p>
    <w:p w14:paraId="47F5C293" w14:textId="4C15594D" w:rsidR="009073CD" w:rsidRPr="001829B2" w:rsidRDefault="00434480" w:rsidP="00B57B2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829B2">
        <w:rPr>
          <w:rFonts w:ascii="Arial" w:hAnsi="Arial" w:cs="Arial"/>
          <w:bCs/>
          <w:spacing w:val="-3"/>
          <w:sz w:val="22"/>
          <w:szCs w:val="22"/>
        </w:rPr>
        <w:t xml:space="preserve">The management and use of the GSMP is guided by the Marine Parks (Great Sandy) Zoning Plan 2017 (zoning plan) which is subordinate legislation under the </w:t>
      </w:r>
      <w:r w:rsidRPr="007B3599">
        <w:rPr>
          <w:rFonts w:ascii="Arial" w:hAnsi="Arial" w:cs="Arial"/>
          <w:bCs/>
          <w:i/>
          <w:iCs/>
          <w:spacing w:val="-3"/>
          <w:sz w:val="22"/>
          <w:szCs w:val="22"/>
        </w:rPr>
        <w:t>Marine Parks Act 2004</w:t>
      </w:r>
      <w:r w:rsidRPr="001829B2">
        <w:rPr>
          <w:rFonts w:ascii="Arial" w:hAnsi="Arial" w:cs="Arial"/>
          <w:bCs/>
          <w:spacing w:val="-3"/>
          <w:sz w:val="22"/>
          <w:szCs w:val="22"/>
        </w:rPr>
        <w:t>.</w:t>
      </w:r>
      <w:r w:rsidR="00855F0A">
        <w:rPr>
          <w:rFonts w:ascii="Arial" w:hAnsi="Arial" w:cs="Arial"/>
          <w:bCs/>
          <w:spacing w:val="-3"/>
          <w:sz w:val="22"/>
          <w:szCs w:val="22"/>
        </w:rPr>
        <w:t xml:space="preserve">  </w:t>
      </w:r>
    </w:p>
    <w:p w14:paraId="3322E6E8" w14:textId="28BA7FBE" w:rsidR="009073CD" w:rsidRDefault="00434480" w:rsidP="00B57B2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829B2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3E2C3C">
        <w:rPr>
          <w:rFonts w:ascii="Arial" w:hAnsi="Arial" w:cs="Arial"/>
          <w:bCs/>
          <w:spacing w:val="-3"/>
          <w:sz w:val="22"/>
          <w:szCs w:val="22"/>
        </w:rPr>
        <w:t>z</w:t>
      </w:r>
      <w:r w:rsidRPr="001829B2">
        <w:rPr>
          <w:rFonts w:ascii="Arial" w:hAnsi="Arial" w:cs="Arial"/>
          <w:bCs/>
          <w:spacing w:val="-3"/>
          <w:sz w:val="22"/>
          <w:szCs w:val="22"/>
        </w:rPr>
        <w:t xml:space="preserve">oning </w:t>
      </w:r>
      <w:r w:rsidR="003E2C3C">
        <w:rPr>
          <w:rFonts w:ascii="Arial" w:hAnsi="Arial" w:cs="Arial"/>
          <w:bCs/>
          <w:spacing w:val="-3"/>
          <w:sz w:val="22"/>
          <w:szCs w:val="22"/>
        </w:rPr>
        <w:t>p</w:t>
      </w:r>
      <w:r w:rsidRPr="001829B2">
        <w:rPr>
          <w:rFonts w:ascii="Arial" w:hAnsi="Arial" w:cs="Arial"/>
          <w:bCs/>
          <w:spacing w:val="-3"/>
          <w:sz w:val="22"/>
          <w:szCs w:val="22"/>
        </w:rPr>
        <w:t>lan is undergoing its first comprehensive review since it was declared in 2006 to ensure a more contemporary management approach to the GSMP that is based on available science, best practice marine protected area management and input from First Nations peoples and the broader community.</w:t>
      </w:r>
    </w:p>
    <w:p w14:paraId="29FE453D" w14:textId="76132144" w:rsidR="00855F0A" w:rsidRPr="001829B2" w:rsidRDefault="00434480" w:rsidP="00B57B2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829B2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1D195A">
        <w:rPr>
          <w:rFonts w:ascii="Arial" w:hAnsi="Arial" w:cs="Arial"/>
          <w:bCs/>
          <w:spacing w:val="-3"/>
          <w:sz w:val="22"/>
          <w:szCs w:val="22"/>
        </w:rPr>
        <w:t xml:space="preserve">draft zoning plan developed by the </w:t>
      </w:r>
      <w:r w:rsidRPr="001829B2">
        <w:rPr>
          <w:rFonts w:ascii="Arial" w:hAnsi="Arial" w:cs="Arial"/>
          <w:bCs/>
          <w:spacing w:val="-3"/>
          <w:sz w:val="22"/>
          <w:szCs w:val="22"/>
        </w:rPr>
        <w:t xml:space="preserve">Queensland Government aims to </w:t>
      </w:r>
      <w:r w:rsidR="00A11205">
        <w:rPr>
          <w:rFonts w:ascii="Arial" w:hAnsi="Arial" w:cs="Arial"/>
          <w:bCs/>
          <w:spacing w:val="-3"/>
          <w:sz w:val="22"/>
          <w:szCs w:val="22"/>
        </w:rPr>
        <w:t xml:space="preserve">achieve significant conservation outcomes while providing </w:t>
      </w:r>
      <w:r w:rsidRPr="001829B2">
        <w:rPr>
          <w:rFonts w:ascii="Arial" w:hAnsi="Arial" w:cs="Arial"/>
          <w:bCs/>
          <w:spacing w:val="-3"/>
          <w:sz w:val="22"/>
          <w:szCs w:val="22"/>
        </w:rPr>
        <w:t>the opportunity to boost the local economy and employment opportunities through increased nature-based tourism, recreational fishing and associated commercial activity.</w:t>
      </w:r>
    </w:p>
    <w:p w14:paraId="7EBAC8A8" w14:textId="15C37411" w:rsidR="009073CD" w:rsidRPr="001829B2" w:rsidRDefault="00434480" w:rsidP="00B57B2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 Consultation Regulatory Impact Statement has been prepared to seek community views on the draft zoning plan.</w:t>
      </w:r>
    </w:p>
    <w:p w14:paraId="402B3348" w14:textId="17B90C4D" w:rsidR="00855F0A" w:rsidRDefault="00434480" w:rsidP="00B57B2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Pr="00F20990">
        <w:t xml:space="preserve"> </w:t>
      </w:r>
      <w:r w:rsidRPr="001829B2">
        <w:rPr>
          <w:rFonts w:ascii="Arial" w:hAnsi="Arial" w:cs="Arial"/>
          <w:bCs/>
          <w:spacing w:val="-3"/>
          <w:sz w:val="22"/>
          <w:szCs w:val="22"/>
        </w:rPr>
        <w:t xml:space="preserve">the release of the Great Sandy Marine Park </w:t>
      </w:r>
      <w:r w:rsidR="001D195A">
        <w:rPr>
          <w:rFonts w:ascii="Arial" w:hAnsi="Arial" w:cs="Arial"/>
          <w:bCs/>
          <w:spacing w:val="-3"/>
          <w:sz w:val="22"/>
          <w:szCs w:val="22"/>
        </w:rPr>
        <w:t xml:space="preserve">Draft </w:t>
      </w:r>
      <w:r w:rsidRPr="001829B2">
        <w:rPr>
          <w:rFonts w:ascii="Arial" w:hAnsi="Arial" w:cs="Arial"/>
          <w:bCs/>
          <w:spacing w:val="-3"/>
          <w:sz w:val="22"/>
          <w:szCs w:val="22"/>
        </w:rPr>
        <w:t xml:space="preserve">Zoning Plan Consultation Regulatory Impact Statement for public consultation. </w:t>
      </w:r>
    </w:p>
    <w:p w14:paraId="080883D2" w14:textId="358B3693" w:rsidR="00854023" w:rsidRPr="001829B2" w:rsidRDefault="00434480" w:rsidP="00B57B2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B3599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release of the Summary of Key Proposed Changes public communication document.</w:t>
      </w:r>
    </w:p>
    <w:p w14:paraId="78D87C6A" w14:textId="668BE96F" w:rsidR="00D6589B" w:rsidRPr="00C07656" w:rsidRDefault="00434480" w:rsidP="00B57B20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2032A3">
        <w:rPr>
          <w:rFonts w:ascii="Arial" w:hAnsi="Arial" w:cs="Arial"/>
          <w:iCs/>
          <w:sz w:val="22"/>
          <w:szCs w:val="22"/>
        </w:rPr>
        <w:t>:</w:t>
      </w:r>
    </w:p>
    <w:p w14:paraId="3D145910" w14:textId="2C42ABE2" w:rsidR="00854023" w:rsidRPr="007B3599" w:rsidRDefault="00D4077A" w:rsidP="002032A3">
      <w:pPr>
        <w:numPr>
          <w:ilvl w:val="0"/>
          <w:numId w:val="2"/>
        </w:numPr>
        <w:tabs>
          <w:tab w:val="clear" w:pos="814"/>
        </w:tabs>
        <w:spacing w:before="120"/>
        <w:ind w:left="567" w:hanging="210"/>
        <w:jc w:val="both"/>
        <w:rPr>
          <w:rFonts w:ascii="Arial" w:hAnsi="Arial" w:cs="Arial"/>
          <w:sz w:val="22"/>
          <w:szCs w:val="22"/>
        </w:rPr>
      </w:pPr>
      <w:hyperlink r:id="rId10" w:history="1">
        <w:r w:rsidR="00434480" w:rsidRPr="000862D2">
          <w:rPr>
            <w:rStyle w:val="Hyperlink"/>
            <w:rFonts w:ascii="Arial" w:hAnsi="Arial" w:cs="Arial"/>
            <w:sz w:val="22"/>
            <w:szCs w:val="22"/>
          </w:rPr>
          <w:t>Great Sandy Marine Park</w:t>
        </w:r>
        <w:r w:rsidR="001D195A" w:rsidRPr="000862D2">
          <w:rPr>
            <w:rStyle w:val="Hyperlink"/>
            <w:rFonts w:ascii="Arial" w:hAnsi="Arial" w:cs="Arial"/>
            <w:sz w:val="22"/>
            <w:szCs w:val="22"/>
          </w:rPr>
          <w:t xml:space="preserve"> Draft</w:t>
        </w:r>
        <w:r w:rsidR="00434480" w:rsidRPr="000862D2">
          <w:rPr>
            <w:rStyle w:val="Hyperlink"/>
            <w:rFonts w:ascii="Arial" w:hAnsi="Arial" w:cs="Arial"/>
            <w:sz w:val="22"/>
            <w:szCs w:val="22"/>
          </w:rPr>
          <w:t xml:space="preserve"> Zoning Plan</w:t>
        </w:r>
        <w:r w:rsidR="001D195A" w:rsidRPr="000862D2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1D195A" w:rsidRPr="000862D2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Consultation Regulatory Impact Statement</w:t>
        </w:r>
      </w:hyperlink>
    </w:p>
    <w:p w14:paraId="663559EC" w14:textId="4879107D" w:rsidR="00732E22" w:rsidRDefault="00D4077A" w:rsidP="002032A3">
      <w:pPr>
        <w:numPr>
          <w:ilvl w:val="0"/>
          <w:numId w:val="2"/>
        </w:numPr>
        <w:tabs>
          <w:tab w:val="clear" w:pos="814"/>
        </w:tabs>
        <w:spacing w:before="120"/>
        <w:ind w:left="567" w:hanging="210"/>
        <w:jc w:val="both"/>
        <w:rPr>
          <w:rFonts w:ascii="Arial" w:hAnsi="Arial" w:cs="Arial"/>
          <w:sz w:val="22"/>
          <w:szCs w:val="22"/>
        </w:rPr>
      </w:pPr>
      <w:hyperlink r:id="rId11" w:history="1">
        <w:r w:rsidR="00434480" w:rsidRPr="000862D2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Summary of Key Proposed Changes communication document</w:t>
        </w:r>
        <w:r w:rsidR="001D195A" w:rsidRPr="000862D2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</w:hyperlink>
    </w:p>
    <w:p w14:paraId="0D2D3DBF" w14:textId="1BA67D24" w:rsidR="00AE5F78" w:rsidRDefault="00AE5F78" w:rsidP="00AE5F78">
      <w:pPr>
        <w:jc w:val="both"/>
        <w:rPr>
          <w:rFonts w:ascii="Arial" w:hAnsi="Arial" w:cs="Arial"/>
          <w:sz w:val="22"/>
          <w:szCs w:val="22"/>
        </w:rPr>
      </w:pPr>
    </w:p>
    <w:p w14:paraId="5D1B7CC2" w14:textId="028DFE8A" w:rsidR="00AE5F78" w:rsidRDefault="00AE5F78" w:rsidP="00AE5F78">
      <w:pPr>
        <w:jc w:val="both"/>
        <w:rPr>
          <w:rFonts w:ascii="Arial" w:hAnsi="Arial" w:cs="Arial"/>
          <w:sz w:val="22"/>
          <w:szCs w:val="22"/>
        </w:rPr>
      </w:pPr>
    </w:p>
    <w:p w14:paraId="1C6AA25E" w14:textId="77777777" w:rsidR="00AE5F78" w:rsidRPr="00937A4A" w:rsidRDefault="00AE5F78" w:rsidP="00AE5F78">
      <w:pPr>
        <w:jc w:val="right"/>
        <w:rPr>
          <w:rFonts w:ascii="Arial" w:hAnsi="Arial" w:cs="Arial"/>
          <w:sz w:val="22"/>
          <w:szCs w:val="22"/>
        </w:rPr>
      </w:pPr>
    </w:p>
    <w:sectPr w:rsidR="00AE5F78" w:rsidRPr="00937A4A" w:rsidSect="002032A3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C093F" w14:textId="77777777" w:rsidR="00131908" w:rsidRDefault="00131908">
      <w:r>
        <w:separator/>
      </w:r>
    </w:p>
  </w:endnote>
  <w:endnote w:type="continuationSeparator" w:id="0">
    <w:p w14:paraId="3FE4B1A3" w14:textId="77777777" w:rsidR="00131908" w:rsidRDefault="0013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6FC89" w14:textId="77777777" w:rsidR="00131908" w:rsidRDefault="00131908">
      <w:r>
        <w:separator/>
      </w:r>
    </w:p>
  </w:footnote>
  <w:footnote w:type="continuationSeparator" w:id="0">
    <w:p w14:paraId="30CF0E61" w14:textId="77777777" w:rsidR="00131908" w:rsidRDefault="00131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EC9C" w14:textId="77777777" w:rsidR="00937A4A" w:rsidRPr="00937A4A" w:rsidRDefault="00434480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89E1981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44534DF" w14:textId="4F68486E" w:rsidR="00937A4A" w:rsidRPr="00937A4A" w:rsidRDefault="00434480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036EB5">
      <w:rPr>
        <w:rFonts w:ascii="Arial" w:hAnsi="Arial" w:cs="Arial"/>
        <w:b/>
        <w:color w:val="auto"/>
        <w:sz w:val="22"/>
        <w:szCs w:val="22"/>
        <w:lang w:eastAsia="en-US"/>
      </w:rPr>
      <w:t xml:space="preserve">August </w:t>
    </w:r>
    <w:r w:rsidR="00A11205">
      <w:rPr>
        <w:rFonts w:ascii="Arial" w:hAnsi="Arial" w:cs="Arial"/>
        <w:b/>
        <w:color w:val="auto"/>
        <w:sz w:val="22"/>
        <w:szCs w:val="22"/>
        <w:lang w:eastAsia="en-US"/>
      </w:rPr>
      <w:t>2022</w:t>
    </w:r>
  </w:p>
  <w:p w14:paraId="122EFBE4" w14:textId="2E6D523C" w:rsidR="003E2C3C" w:rsidRPr="007B3599" w:rsidRDefault="00434480" w:rsidP="00B57B20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3E2C3C">
      <w:rPr>
        <w:rFonts w:ascii="Arial" w:hAnsi="Arial" w:cs="Arial"/>
        <w:b/>
        <w:sz w:val="22"/>
        <w:szCs w:val="22"/>
        <w:u w:val="single"/>
      </w:rPr>
      <w:t xml:space="preserve">Review of the Great Sandy Marine Park Zoning Plan – release of Draft Zoning Plan and Consultation Regulatory Impact Statement </w:t>
    </w:r>
  </w:p>
  <w:p w14:paraId="17C8AFCA" w14:textId="5DA81ADD" w:rsidR="009073CD" w:rsidRDefault="00434480" w:rsidP="00B57B20">
    <w:pPr>
      <w:keepNext/>
      <w:keepLines/>
      <w:spacing w:before="120"/>
      <w:jc w:val="both"/>
    </w:pPr>
    <w:r>
      <w:rPr>
        <w:rFonts w:ascii="Arial" w:hAnsi="Arial" w:cs="Arial"/>
        <w:b/>
        <w:sz w:val="22"/>
        <w:szCs w:val="22"/>
        <w:u w:val="single"/>
      </w:rPr>
      <w:t>Minister for the Environment and the Great Barrier Reef and Minister for Science and Youth Affairs</w:t>
    </w:r>
  </w:p>
  <w:p w14:paraId="0B3A4D77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05BCB"/>
    <w:multiLevelType w:val="hybridMultilevel"/>
    <w:tmpl w:val="11705DC8"/>
    <w:lvl w:ilvl="0" w:tplc="D4D20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4C8E2A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2E8585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7FE6B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A7403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38C235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E6650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BE4A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6143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5BE4382"/>
    <w:multiLevelType w:val="multilevel"/>
    <w:tmpl w:val="9AB48BE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7427D55"/>
    <w:multiLevelType w:val="hybridMultilevel"/>
    <w:tmpl w:val="E79E3230"/>
    <w:lvl w:ilvl="0" w:tplc="D88AB4D8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756AD8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709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C6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80FE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2A64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949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B841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C8E8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6EDA2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46578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370C2C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0AC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E9E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D2B5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DA4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C1F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7C35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7775522">
    <w:abstractNumId w:val="3"/>
  </w:num>
  <w:num w:numId="2" w16cid:durableId="218171235">
    <w:abstractNumId w:val="2"/>
  </w:num>
  <w:num w:numId="3" w16cid:durableId="1493452852">
    <w:abstractNumId w:val="1"/>
  </w:num>
  <w:num w:numId="4" w16cid:durableId="149070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CA"/>
    <w:rsid w:val="00036EB5"/>
    <w:rsid w:val="000430DD"/>
    <w:rsid w:val="000733B9"/>
    <w:rsid w:val="00080F8F"/>
    <w:rsid w:val="000862D2"/>
    <w:rsid w:val="000B0C98"/>
    <w:rsid w:val="0010384C"/>
    <w:rsid w:val="00131908"/>
    <w:rsid w:val="00140936"/>
    <w:rsid w:val="00152095"/>
    <w:rsid w:val="00174117"/>
    <w:rsid w:val="001829B2"/>
    <w:rsid w:val="00196E7B"/>
    <w:rsid w:val="001A2140"/>
    <w:rsid w:val="001D195A"/>
    <w:rsid w:val="002032A3"/>
    <w:rsid w:val="0021344B"/>
    <w:rsid w:val="00275AA8"/>
    <w:rsid w:val="00280DCA"/>
    <w:rsid w:val="0034156D"/>
    <w:rsid w:val="003A3BDD"/>
    <w:rsid w:val="003B5871"/>
    <w:rsid w:val="003E2C3C"/>
    <w:rsid w:val="003F7EB0"/>
    <w:rsid w:val="00405A0A"/>
    <w:rsid w:val="00434480"/>
    <w:rsid w:val="0043543B"/>
    <w:rsid w:val="00486DAD"/>
    <w:rsid w:val="004E3AE1"/>
    <w:rsid w:val="00501C66"/>
    <w:rsid w:val="00550873"/>
    <w:rsid w:val="005B7688"/>
    <w:rsid w:val="005D12B8"/>
    <w:rsid w:val="00654430"/>
    <w:rsid w:val="00697353"/>
    <w:rsid w:val="00702761"/>
    <w:rsid w:val="007265D0"/>
    <w:rsid w:val="00732E22"/>
    <w:rsid w:val="00741AE4"/>
    <w:rsid w:val="00741C20"/>
    <w:rsid w:val="00754565"/>
    <w:rsid w:val="007B3599"/>
    <w:rsid w:val="007B72BD"/>
    <w:rsid w:val="007F44F4"/>
    <w:rsid w:val="00854023"/>
    <w:rsid w:val="00854ACD"/>
    <w:rsid w:val="00855F0A"/>
    <w:rsid w:val="00875683"/>
    <w:rsid w:val="008A4523"/>
    <w:rsid w:val="008F44CD"/>
    <w:rsid w:val="00904077"/>
    <w:rsid w:val="009073CD"/>
    <w:rsid w:val="00937A4A"/>
    <w:rsid w:val="00955878"/>
    <w:rsid w:val="009C7D8E"/>
    <w:rsid w:val="00A11205"/>
    <w:rsid w:val="00A36A96"/>
    <w:rsid w:val="00A527A5"/>
    <w:rsid w:val="00A7586B"/>
    <w:rsid w:val="00AE5F78"/>
    <w:rsid w:val="00B338E9"/>
    <w:rsid w:val="00B57B20"/>
    <w:rsid w:val="00B95A06"/>
    <w:rsid w:val="00BC5334"/>
    <w:rsid w:val="00C07656"/>
    <w:rsid w:val="00C66E77"/>
    <w:rsid w:val="00C75E67"/>
    <w:rsid w:val="00CB1501"/>
    <w:rsid w:val="00CD7A50"/>
    <w:rsid w:val="00CE6FBA"/>
    <w:rsid w:val="00CF0D8A"/>
    <w:rsid w:val="00D2072D"/>
    <w:rsid w:val="00D4077A"/>
    <w:rsid w:val="00D6589B"/>
    <w:rsid w:val="00DB6FE7"/>
    <w:rsid w:val="00DC7657"/>
    <w:rsid w:val="00DE61EC"/>
    <w:rsid w:val="00F10DF9"/>
    <w:rsid w:val="00F20990"/>
    <w:rsid w:val="00F24A8A"/>
    <w:rsid w:val="00F45B99"/>
    <w:rsid w:val="00F94D48"/>
    <w:rsid w:val="00F9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74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3CD"/>
    <w:pPr>
      <w:ind w:left="720"/>
      <w:contextualSpacing/>
    </w:pPr>
  </w:style>
  <w:style w:type="paragraph" w:styleId="Revision">
    <w:name w:val="Revision"/>
    <w:hidden/>
    <w:uiPriority w:val="99"/>
    <w:semiHidden/>
    <w:rsid w:val="003F7EB0"/>
    <w:rPr>
      <w:rFonts w:ascii="Times New Roman" w:eastAsia="Times New Roman" w:hAnsi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C7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D8E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D8E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434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44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32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Summary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RI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DAFE8-8EBC-4A19-8F84-1DB5AA4F2A92}">
  <ds:schemaRefs>
    <ds:schemaRef ds:uri="http://purl.org/dc/elements/1.1/"/>
    <ds:schemaRef ds:uri="http://schemas.microsoft.com/office/2006/metadata/properties"/>
    <ds:schemaRef ds:uri="http://purl.org/dc/terms/"/>
    <ds:schemaRef ds:uri="b8ed82f2-f7bd-423c-8698-5e132afe9245"/>
    <ds:schemaRef ds:uri="http://schemas.microsoft.com/office/2006/documentManagement/types"/>
    <ds:schemaRef ds:uri="http://schemas.microsoft.com/office/infopath/2007/PartnerControls"/>
    <ds:schemaRef ds:uri="63e311de-a790-43ff-be63-577c26c7507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63557A-C63F-48DB-8B9A-A74233D66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10</TotalTime>
  <Pages>1</Pages>
  <Words>268</Words>
  <Characters>1544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Base>https://www.cabinet.qld.gov.au/documents/2022/Aug/GSMPZoning/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6</cp:revision>
  <dcterms:created xsi:type="dcterms:W3CDTF">2022-11-15T23:03:00Z</dcterms:created>
  <dcterms:modified xsi:type="dcterms:W3CDTF">2023-01-19T22:39:00Z</dcterms:modified>
  <cp:category>Environmental_Protection,Planning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MediaServiceImageTags">
    <vt:lpwstr/>
  </property>
  <property fmtid="{D5CDD505-2E9C-101B-9397-08002B2CF9AE}" pid="4" name="MSIP_Label_282828d4-d65e-4c38-b4f3-1feba3142871_Enabled">
    <vt:lpwstr>true</vt:lpwstr>
  </property>
  <property fmtid="{D5CDD505-2E9C-101B-9397-08002B2CF9AE}" pid="5" name="MSIP_Label_282828d4-d65e-4c38-b4f3-1feba3142871_SetDate">
    <vt:lpwstr>2023-01-19T22:39:56Z</vt:lpwstr>
  </property>
  <property fmtid="{D5CDD505-2E9C-101B-9397-08002B2CF9AE}" pid="6" name="MSIP_Label_282828d4-d65e-4c38-b4f3-1feba3142871_Method">
    <vt:lpwstr>Standard</vt:lpwstr>
  </property>
  <property fmtid="{D5CDD505-2E9C-101B-9397-08002B2CF9AE}" pid="7" name="MSIP_Label_282828d4-d65e-4c38-b4f3-1feba3142871_Name">
    <vt:lpwstr>OFFICIAL</vt:lpwstr>
  </property>
  <property fmtid="{D5CDD505-2E9C-101B-9397-08002B2CF9AE}" pid="8" name="MSIP_Label_282828d4-d65e-4c38-b4f3-1feba3142871_SiteId">
    <vt:lpwstr>51778d2a-a6ab-4c76-97dc-782782d65046</vt:lpwstr>
  </property>
  <property fmtid="{D5CDD505-2E9C-101B-9397-08002B2CF9AE}" pid="9" name="MSIP_Label_282828d4-d65e-4c38-b4f3-1feba3142871_ActionId">
    <vt:lpwstr>acafdc89-baec-415a-97e9-68099dda277a</vt:lpwstr>
  </property>
  <property fmtid="{D5CDD505-2E9C-101B-9397-08002B2CF9AE}" pid="10" name="MSIP_Label_282828d4-d65e-4c38-b4f3-1feba3142871_ContentBits">
    <vt:lpwstr>0</vt:lpwstr>
  </property>
</Properties>
</file>